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Agile Delivery Cheat Sheet</w:t>
      </w:r>
    </w:p>
    <w:p>
      <w:pPr>
        <w:spacing w:after="280" w:before="0"/>
        <w:jc w:val="center"/>
      </w:pPr>
      <w:r>
        <w:rPr>
          <w:rFonts w:ascii="Arial" w:cs="Arial" w:eastAsia="Arial" w:hAnsi="Arial"/>
          <w:color w:val="595959"/>
          <w:sz w:val="24"/>
          <w:szCs w:val="24"/>
        </w:rPr>
        <w:t xml:space="preserve">How to Read &amp; Interpret Each KPI Metric</w:t>
      </w:r>
    </w:p>
    <w:p>
      <w:pPr>
        <w:pBdr>
          <w:bottom w:val="single" w:color="1F4E79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Delivery KPIs  ─  Measure the speed and scope of deliverables at sprint and release level</w:t>
      </w:r>
    </w:p>
    <w:p>
      <w:pPr>
        <w:spacing w:after="60" w:before="60"/>
      </w:pPr>
      <w:r>
        <w:rPr>
          <w:rFonts w:ascii="Arial" w:cs="Arial" w:eastAsia="Arial" w:hAnsi="Arial"/>
          <w:sz w:val="18"/>
          <w:szCs w:val="18"/>
        </w:rPr>
        <w:t xml:space="preserve">These metrics reveal whether your team is consistently delivering on its commitments. Use them to surface gaps between plan and reality early, before they compound.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3000"/>
        <w:gridCol w:w="1500"/>
        <w:gridCol w:w="15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Formula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Read 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Healthy Sign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Warning Sign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Scope Achievement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Completed Scope / Planned Scope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Shows what percentage of planned features were completed in a sprint. Closer to 100% indicates stronger estimation accuracy and execution. If consistently below 80%, revisit estimation and prioritization processes.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Stable at 90–100% across sprints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Repeatedly drops below 70%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Release Cadence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Total Time / Number of Releases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Measures delivery frequency. Smaller values mean higher-frequency releases. Widening intervals delay market feedback and let risk accumulate. Target: within one sprint cycle.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Interval is shrinking over time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Intervals widening or becoming irregular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Innovation Lead Time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Feedback Date − Idea Proposal 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Speed from idea to user-validated feedback. Shorter means faster hypothesis-testing cycles. Long lead times often point to excessive WIP or slow approval gates.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Consistently decreasing trend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No change over months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Task Turnaround Time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Completion Timestamp − Assignment Timestamp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Processing speed of individual tasks. Track both mean and variance. High variance signals dependencies or idle waiting between handoffs.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Low mean with low variance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Frequent outlier tasks appearing</w:t>
            </w:r>
          </w:p>
        </w:tc>
      </w:tr>
    </w:tbl>
    <w:p>
      <w:pPr>
        <w:spacing w:after="0" w:before="200"/>
      </w:pPr>
    </w:p>
    <w:p>
      <w:pPr>
        <w:pBdr>
          <w:bottom w:val="single" w:color="375623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2. Flow KPIs  ─  Measure the efficiency and stability of work in motion</w:t>
      </w:r>
    </w:p>
    <w:p>
      <w:pPr>
        <w:spacing w:after="60" w:before="60"/>
      </w:pPr>
      <w:r>
        <w:rPr>
          <w:rFonts w:ascii="Arial" w:cs="Arial" w:eastAsia="Arial" w:hAnsi="Arial"/>
          <w:sz w:val="18"/>
          <w:szCs w:val="18"/>
        </w:rPr>
        <w:t xml:space="preserve">Grounded in Lean and Kanban thinking, these metrics make bottlenecks and waste (waiting, rework, excessive WIP) visible — giving you a clear starting point for continuous improvement.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3000"/>
        <w:gridCol w:w="1500"/>
        <w:gridCol w:w="15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Formula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Read 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Healthy Sign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Warning Sign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Velocity Stability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Standard Deviation of Sprint Velocity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Lower values mean more predictable output. Instability points to scope changes, team absences, or technical debt. Stabilize first, then improve the average — order matters.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Std dev within 20% of velocity mean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Large swings every sprint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Work Item Flow (Throughput)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Completed Items per Day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Throughput at a stable WIP level. By Little's Law: Lead Time = WIP / Throughput — so raising throughput or reducing WIP directly shortens lead time.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Stable or improving throughput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Sudden drops or spikes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Value Flow Ratio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Value-Add Time / Total Flow Time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Proportion of time spent on genuinely value-creating work. Low ratios indicate waste: waiting, rework, excessive meetings. Lean practice targets 50%+.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Above 50% and rising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Below 30% or on a downward trend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Parallel Work Load (WIP)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Number of Active Items at a Given Point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Too many simultaneous tasks increase context-switching and reduce throughput. In Kanban, enforce WIP limits. Set appropriate limits based on team size.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Stays within WIP limits consistently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WIP limit breaches normalized</w:t>
            </w:r>
          </w:p>
        </w:tc>
      </w:tr>
    </w:tbl>
    <w:p>
      <w:pPr>
        <w:spacing w:after="0" w:before="200"/>
      </w:pPr>
    </w:p>
    <w:p>
      <w:pPr>
        <w:pBdr>
          <w:bottom w:val="single" w:color="7B2C2C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7B2C2C"/>
          <w:sz w:val="28"/>
          <w:szCs w:val="28"/>
        </w:rPr>
        <w:t xml:space="preserve">3. Quality KPIs  ─  Measure software quality and test coverage maturity</w:t>
      </w:r>
    </w:p>
    <w:p>
      <w:pPr>
        <w:spacing w:after="60" w:before="60"/>
      </w:pPr>
      <w:r>
        <w:rPr>
          <w:rFonts w:ascii="Arial" w:cs="Arial" w:eastAsia="Arial" w:hAnsi="Arial"/>
          <w:sz w:val="18"/>
          <w:szCs w:val="18"/>
        </w:rPr>
        <w:t xml:space="preserve">Building fast is only half the equation. These metrics ensure you're also building things that don't break. Track automation rate and defect density together to see the full quality picture.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3000"/>
        <w:gridCol w:w="1500"/>
        <w:gridCol w:w="15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Formula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Read 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Healthy Sign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Warning Sign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Regression Test Automation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Automated Regression Tests / Total Regression Tests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Higher means faster releases and fewer human errors. If the rate drops with each new feature, test debt is accumulating and needs dedicated payback sprints.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Above 80% and growing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Drops sharply after new feature additions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Production Defect Frequency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Reported Bugs / Number of Releases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Proxy for release quality. High values suggest inadequate test coverage or unclear requirements. Combine with defect categorization (severity, area) to find root causes.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Declining trend release over release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Same area failing repeatedly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Release Defect Density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Defect Count / KLOC (per 1,000 lines of code)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Code quality density. Industry average is 1–25 defects/KLOC, but your own trend matters more. Check whether refactoring or static analysis adoption is driving improvement.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Continuously decreasing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Concentrated in specific modules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Deploy Reliability Index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Incident-Free Deploys / Total Deploys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Deployment success rate — reflects CI/CD maturity and infrastructure stability. Combine with MTTR (Mean Time to Recovery) when incidents do occur.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Maintained above 95%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Rollbacks on every deploy</w:t>
            </w:r>
          </w:p>
        </w:tc>
      </w:tr>
    </w:tbl>
    <w:p>
      <w:pPr>
        <w:spacing w:after="0" w:before="200"/>
      </w:pPr>
    </w:p>
    <w:p>
      <w:pPr>
        <w:pBdr>
          <w:bottom w:val="single" w:color="6A3D8F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6A3D8F"/>
          <w:sz w:val="28"/>
          <w:szCs w:val="28"/>
        </w:rPr>
        <w:t xml:space="preserve">4. Planning KPIs  ─  Measure forecast accuracy and backlog management maturity</w:t>
      </w:r>
    </w:p>
    <w:p>
      <w:pPr>
        <w:spacing w:after="60" w:before="60"/>
      </w:pPr>
      <w:r>
        <w:rPr>
          <w:rFonts w:ascii="Arial" w:cs="Arial" w:eastAsia="Arial" w:hAnsi="Arial"/>
          <w:sz w:val="18"/>
          <w:szCs w:val="18"/>
        </w:rPr>
        <w:t xml:space="preserve">Use these metrics to develop a team that can plan reliably and execute predictably. Analyze spillover and forecast bias to improve refinement and estimation processes over time.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3000"/>
        <w:gridCol w:w="1500"/>
        <w:gridCol w:w="15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Formula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Read 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Healthy Sign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Warning Sign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Backlog Readiness Index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Ready Items / Total Backlog Items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Percentage of items that are implementation-ready at sprint start. Low scores mean refinement is insufficient, forcing spec clarification mid-sprint. Target: 80%+ of next sprint ready at all times.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80%+ of next sprint items ready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Spec changes spike after sprint start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Sprint Spillover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Carried-Over Stories / Sprint Stories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Work that didn't finish and rolled into the next sprint. High values signal estimation issues or mid-sprint interruptions. Log spillover item types to identify root causes.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Consistently within 5–10%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20%+ spillover every sprint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Forecast Accuracy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(Forecast − Actual) / Forecast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How closely work completion matches the plan. ±20% is the target. Track both over- and under-estimation separately — a consistent directional bias is a system problem to fix.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Stable within ±20%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Bias consistently in one direction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Planned vs. Delivered Scope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Delivered Features / Planned Features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Feature-level delivery ratio. Unlike story-point velocity, this is a stakeholder-facing trust metric. Reflects the team's credibility in keeping commitments.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Stable at 90%+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Persistent gap vs. stakeholder expectations</w:t>
            </w:r>
          </w:p>
        </w:tc>
      </w:tr>
    </w:tbl>
    <w:p>
      <w:pPr>
        <w:spacing w:after="0" w:before="200"/>
      </w:pPr>
    </w:p>
    <w:p>
      <w:pPr>
        <w:pBdr>
          <w:bottom w:val="single" w:color="7F4417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7F4417"/>
          <w:sz w:val="28"/>
          <w:szCs w:val="28"/>
        </w:rPr>
        <w:t xml:space="preserve">5. Team Health KPIs  ─  Measure team vitality, morale, and collaboration</w:t>
      </w:r>
    </w:p>
    <w:p>
      <w:pPr>
        <w:spacing w:after="60" w:before="60"/>
      </w:pPr>
      <w:r>
        <w:rPr>
          <w:rFonts w:ascii="Arial" w:cs="Arial" w:eastAsia="Arial" w:hAnsi="Arial"/>
          <w:sz w:val="18"/>
          <w:szCs w:val="18"/>
        </w:rPr>
        <w:t xml:space="preserve">Quantitative metrics alone miss the human dimension. These indicators complement the numbers, helping sustain long-term performance. Focus on trends and inflection points, not just raw scores.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3000"/>
        <w:gridCol w:w="1500"/>
        <w:gridCol w:w="15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Formula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Read 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Healthy Sign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Warning Sign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Engagement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Actively Contributing Members / Total Members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Degree of active participation. If declining, conduct 1-on-1s to assess psychological safety. Go beyond attendance — measure frequency of contributions and proposals.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Stable above 80%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Gradual decline month over month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Incident Resolution Time (MTTR)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Time from Detection to Resolution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Incident response agility. Shorter times reflect mature on-call processes and runbooks. Pair with MTBF to decide whether to invest in prevention or faster recovery.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Resolved within SLO and shrinking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Same incident types recurring and dragging on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Goal Achievement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Goals Achieved / Goals Set × 100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Sprint goal completion rate. Link to OKRs/KRs to verify strategic alignment. A consistent 100% may mean goals are too easy — consider stretch targets where 60–70% achievement is expected.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Stable in the 70–90% range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0% or always 100% (goal-setting may be off)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Mood Index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Average Mood Score (e.g., 1–5 scale)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Aggregated team sentiment per sprint, typically gathered in retrospectives. Focus on trend and inflection points over the raw score. A sudden drop signals an event worth investigating.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6"/>
                <w:szCs w:val="16"/>
              </w:rPr>
              <w:t xml:space="preserve">Consistently high with active retro discussion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B71C1C"/>
                <w:sz w:val="16"/>
                <w:szCs w:val="16"/>
              </w:rPr>
              <w:t xml:space="preserve">Sharp drop, or everyone scores 'neutral' with no discussion</w:t>
            </w:r>
          </w:p>
        </w:tc>
      </w:tr>
    </w:tbl>
    <w:p>
      <w:pPr>
        <w:spacing w:after="0" w:before="180"/>
      </w:pPr>
    </w:p>
    <w:p>
      <w:pPr>
        <w:spacing w:after="40" w:before="8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Tip: No single metric tells the whole story. Read multiple KPIs together for an accurate picture of your team's health. Prioritize trends and change points over absolute values.</w:t>
      </w:r>
    </w:p>
    <w:sectPr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50" w:before="30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2026-06-18T01:21:27.925Z</dcterms:created>
  <dcterms:modified xsi:type="dcterms:W3CDTF">2026-06-18T01:21:27.941Z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